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9B" w:rsidRPr="00D3569B" w:rsidRDefault="00D3569B" w:rsidP="00D356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D3569B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Сведения о количестве оборудованных групповых помещений МКДОУ ЦРР-ДС №19</w:t>
      </w:r>
    </w:p>
    <w:p w:rsid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Материально-техническое обеспечение </w:t>
      </w:r>
      <w:proofErr w:type="spellStart"/>
      <w:r w:rsidRPr="00C14590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  </w:t>
      </w:r>
    </w:p>
    <w:p w:rsidR="00D3569B" w:rsidRP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       </w:t>
      </w: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>Подбор оборудования осуществляется исходя из того,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игра. </w:t>
      </w: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br/>
        <w:t>Оборудование отвечает санитарно-эпидемиологическим правилам и нормативам, гигиеническим педагогическим и эстетическим требованиям.​</w:t>
      </w:r>
    </w:p>
    <w:p w:rsidR="00D3569B" w:rsidRDefault="00D3569B" w:rsidP="00D3569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     </w:t>
      </w: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Предметно-развивающая среда образовательного учреждения и групповых помещений построена в соответствии с Федеральным государственным образовательным стандартом дошкольного образования.  С учетом требований к учебно-материальному обеспечению, </w:t>
      </w:r>
      <w:r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соблюдением следующих принципов: </w:t>
      </w:r>
    </w:p>
    <w:p w:rsidR="00D3569B" w:rsidRPr="000676BC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Информативности</w:t>
      </w:r>
      <w:r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; </w:t>
      </w:r>
    </w:p>
    <w:p w:rsidR="00D3569B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 Вариативности</w:t>
      </w:r>
      <w:r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; </w:t>
      </w:r>
    </w:p>
    <w:p w:rsidR="00D3569B" w:rsidRPr="000676BC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proofErr w:type="spellStart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полифункциональности</w:t>
      </w:r>
      <w:proofErr w:type="spellEnd"/>
      <w:proofErr w:type="gramStart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, </w:t>
      </w: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>;</w:t>
      </w:r>
      <w:proofErr w:type="gramEnd"/>
    </w:p>
    <w:p w:rsidR="00D3569B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педагогической целесообразности, </w:t>
      </w:r>
    </w:p>
    <w:p w:rsidR="00D3569B" w:rsidRPr="000676BC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 </w:t>
      </w:r>
      <w:proofErr w:type="spellStart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трансформируемости</w:t>
      </w:r>
      <w:proofErr w:type="spellEnd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, </w:t>
      </w:r>
    </w:p>
    <w:p w:rsidR="00D3569B" w:rsidRPr="000676BC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>с учетом</w:t>
      </w:r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 принципы интеграции </w:t>
      </w:r>
      <w:proofErr w:type="gramStart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образовательных</w:t>
      </w:r>
      <w:proofErr w:type="gramEnd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 </w:t>
      </w:r>
    </w:p>
    <w:p w:rsidR="00D3569B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>с учетом </w:t>
      </w:r>
      <w:proofErr w:type="spellStart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>полоролевой</w:t>
      </w:r>
      <w:proofErr w:type="spellEnd"/>
      <w:r w:rsidRPr="000676BC">
        <w:rPr>
          <w:rFonts w:ascii="Times New Roman" w:eastAsia="Times New Roman" w:hAnsi="Times New Roman" w:cs="Times New Roman"/>
          <w:i/>
          <w:iCs/>
          <w:color w:val="4A2E26"/>
          <w:sz w:val="24"/>
          <w:szCs w:val="24"/>
        </w:rPr>
        <w:t xml:space="preserve"> специфики</w:t>
      </w: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 и обеспечение предметно-развивающей </w:t>
      </w:r>
      <w:proofErr w:type="gramStart"/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>среды</w:t>
      </w:r>
      <w:proofErr w:type="gramEnd"/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 как общим, так и специфическим материалом для девочек и мальчиков.</w:t>
      </w:r>
      <w:r w:rsidRPr="000676BC">
        <w:rPr>
          <w:rFonts w:ascii="Times New Roman" w:eastAsia="Times New Roman" w:hAnsi="Times New Roman" w:cs="Times New Roman"/>
          <w:color w:val="4A2E26"/>
          <w:sz w:val="24"/>
          <w:szCs w:val="24"/>
        </w:rPr>
        <w:br/>
      </w:r>
    </w:p>
    <w:p w:rsidR="00D3569B" w:rsidRP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</w:t>
      </w:r>
      <w:r w:rsidRPr="00D3569B">
        <w:rPr>
          <w:rFonts w:ascii="Times New Roman" w:eastAsia="Times New Roman" w:hAnsi="Times New Roman" w:cs="Times New Roman"/>
          <w:b/>
          <w:i/>
          <w:sz w:val="24"/>
          <w:szCs w:val="24"/>
        </w:rPr>
        <w:t>В каждой возрастной группе созданы Центры деятельности: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познавательно-исследовательской деятельности»,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сюжетно–ролевой игры»,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книги»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конструирование»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трудовой деятельности»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музыкально-художественного творчества»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развивающих игр»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искусства»</w:t>
      </w:r>
    </w:p>
    <w:p w:rsidR="00D3569B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двигательной активности»</w:t>
      </w:r>
    </w:p>
    <w:p w:rsidR="00D3569B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«Уголки родного края»</w:t>
      </w:r>
    </w:p>
    <w:p w:rsid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образовательной деятельности используются печатные пособия, разработанные в соответствии с требованиями ФГОС </w:t>
      </w:r>
      <w:proofErr w:type="gramStart"/>
      <w:r w:rsidRPr="00C1459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69B" w:rsidRPr="00C14590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зал оснащен техническими средствами обучения, а также фортепиано, детскими музыкальными инструментами; музыкальн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дидактическими играми и атрибутами к ним. </w:t>
      </w:r>
    </w:p>
    <w:p w:rsidR="00D3569B" w:rsidRPr="00C14590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Для обеспечения физической активности детей в помещениях ДОУ музыкальный зал  совмещается со </w:t>
      </w:r>
      <w:proofErr w:type="gramStart"/>
      <w:r w:rsidRPr="00C14590">
        <w:rPr>
          <w:rFonts w:ascii="Times New Roman" w:eastAsia="Times New Roman" w:hAnsi="Times New Roman" w:cs="Times New Roman"/>
          <w:sz w:val="24"/>
          <w:szCs w:val="24"/>
        </w:rPr>
        <w:t>спортивным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>,  имеется необходимое стандартное физкультурное оборудование: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Гимнастическая  лестница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скамейки,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маты,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резиновые и надувные мячи,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обручи,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скакалки,</w:t>
      </w:r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дуги для </w:t>
      </w:r>
      <w:proofErr w:type="spellStart"/>
      <w:r w:rsidRPr="00C14590">
        <w:rPr>
          <w:rFonts w:ascii="Times New Roman" w:eastAsia="Times New Roman" w:hAnsi="Times New Roman" w:cs="Times New Roman"/>
          <w:sz w:val="24"/>
          <w:szCs w:val="24"/>
        </w:rPr>
        <w:t>подлезания</w:t>
      </w:r>
      <w:proofErr w:type="spellEnd"/>
    </w:p>
    <w:p w:rsidR="00D3569B" w:rsidRPr="00C14590" w:rsidRDefault="00D3569B" w:rsidP="00D356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гимнастические палки</w:t>
      </w:r>
    </w:p>
    <w:p w:rsid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В каждой группе оборудованы спортивные уголки. Для организации работы на свежем воздухе есть спортивная площадка, полоса активного движения.</w:t>
      </w:r>
    </w:p>
    <w:p w:rsidR="00D3569B" w:rsidRPr="00DE5C65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П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омещения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Учреждения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</w:r>
      <w:proofErr w:type="gramStart"/>
      <w:r w:rsidRPr="00C14590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143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дл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>я мытья посуды, стирки белья и спецодежды.</w:t>
      </w:r>
    </w:p>
    <w:p w:rsidR="00B94056" w:rsidRDefault="00B94056"/>
    <w:sectPr w:rsidR="00B9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30B4"/>
    <w:multiLevelType w:val="multilevel"/>
    <w:tmpl w:val="278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62D52"/>
    <w:multiLevelType w:val="multilevel"/>
    <w:tmpl w:val="A2D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879D1"/>
    <w:multiLevelType w:val="multilevel"/>
    <w:tmpl w:val="523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569B"/>
    <w:rsid w:val="00B94056"/>
    <w:rsid w:val="00D35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2</cp:revision>
  <dcterms:created xsi:type="dcterms:W3CDTF">2017-12-20T17:30:00Z</dcterms:created>
  <dcterms:modified xsi:type="dcterms:W3CDTF">2017-12-20T17:35:00Z</dcterms:modified>
</cp:coreProperties>
</file>